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021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2114D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02114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Politeknik</w:t>
      </w:r>
      <w:proofErr w:type="spellEnd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0831">
        <w:rPr>
          <w:rFonts w:ascii="Times New Roman" w:eastAsia="Times New Roman" w:hAnsi="Times New Roman" w:cs="Times New Roman"/>
          <w:b/>
          <w:bCs/>
          <w:sz w:val="28"/>
          <w:szCs w:val="28"/>
        </w:rPr>
        <w:t>Milanos</w:t>
      </w:r>
      <w:proofErr w:type="spellEnd"/>
      <w:r w:rsidR="001D11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Itali</w:t>
      </w:r>
      <w:proofErr w:type="spellEnd"/>
    </w:p>
    <w:p w:rsidR="006E01AD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A841B3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2315"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831">
        <w:rPr>
          <w:rFonts w:ascii="Times New Roman" w:eastAsia="Times New Roman" w:hAnsi="Times New Roman" w:cs="Times New Roman"/>
          <w:sz w:val="24"/>
          <w:szCs w:val="24"/>
        </w:rPr>
        <w:t>Milanos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A80" w:rsidRPr="00F540CB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9976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doktoraturës</w:t>
      </w:r>
      <w:proofErr w:type="spellEnd"/>
    </w:p>
    <w:p w:rsidR="006E01AD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Bachelor </w:t>
      </w:r>
      <w:r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studentët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regjistruar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studimi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570831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F700B6" w:rsidRDefault="006E01AD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Doktoraturë</w:t>
      </w:r>
      <w:proofErr w:type="spellEnd"/>
      <w:r w:rsid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Doktorature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Pr="00F540CB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Pr="00F540CB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      </w:t>
      </w:r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Bachelor</w:t>
      </w:r>
      <w:r w:rsidR="00374C9F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00B6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(1 </w:t>
      </w:r>
      <w:proofErr w:type="spellStart"/>
      <w:r w:rsidR="00F700B6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semest</w:t>
      </w:r>
      <w:r w:rsidR="00C54E5A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F700B6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F540CB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 </w:t>
      </w:r>
      <w:proofErr w:type="spellStart"/>
      <w:r w:rsidR="00F540CB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muaj</w:t>
      </w:r>
      <w:proofErr w:type="spellEnd"/>
    </w:p>
    <w:p w:rsidR="00862315" w:rsidRPr="00F540CB" w:rsidRDefault="00374C9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    Master (</w:t>
      </w:r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570831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70831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 </w:t>
      </w:r>
      <w:proofErr w:type="spellStart"/>
      <w:r w:rsidR="00570831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muaj</w:t>
      </w:r>
      <w:proofErr w:type="spellEnd"/>
    </w:p>
    <w:p w:rsidR="006E01AD" w:rsidRPr="00F540CB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     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Doktorantët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74C9F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570831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B3A80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70831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 </w:t>
      </w:r>
      <w:proofErr w:type="spellStart"/>
      <w:r w:rsidR="00570831" w:rsidRPr="00F54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muaj</w:t>
      </w:r>
      <w:proofErr w:type="spellEnd"/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02114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Fusha</w:t>
      </w:r>
      <w:proofErr w:type="spellEnd"/>
      <w:r w:rsidR="006E01AD"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6E01AD"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="006E01AD"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C9F" w:rsidRPr="00374C9F" w:rsidRDefault="00374C9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Arkitekturë</w:t>
      </w:r>
      <w:proofErr w:type="spellEnd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2315" w:rsidRP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0C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74C9F" w:rsidRPr="00F540CB">
        <w:rPr>
          <w:rFonts w:ascii="Times New Roman" w:eastAsia="Times New Roman" w:hAnsi="Times New Roman" w:cs="Times New Roman"/>
          <w:sz w:val="24"/>
          <w:szCs w:val="24"/>
        </w:rPr>
        <w:t xml:space="preserve"> Bachelor,</w:t>
      </w:r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="00374C9F"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4C9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C9F" w:rsidRPr="00F540CB">
        <w:rPr>
          <w:rFonts w:ascii="Times New Roman" w:eastAsia="Times New Roman" w:hAnsi="Times New Roman" w:cs="Times New Roman"/>
          <w:sz w:val="24"/>
          <w:szCs w:val="24"/>
        </w:rPr>
        <w:t>doktorature</w:t>
      </w:r>
      <w:proofErr w:type="spellEnd"/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0831" w:rsidRPr="00F540C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570831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="006220AD"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 w:rsidRPr="00942C51">
        <w:rPr>
          <w:rFonts w:ascii="Times New Roman" w:eastAsia="Times New Roman" w:hAnsi="Times New Roman" w:cs="Times New Roman"/>
          <w:i/>
          <w:sz w:val="20"/>
          <w:szCs w:val="20"/>
        </w:rPr>
        <w:t>italiane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përzgjidhen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lëndë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zhvillohen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këto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708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Milanos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42C51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2C51" w:rsidRPr="00CC18D5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="0053538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B45C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F700B6" w:rsidRDefault="0079071C" w:rsidP="00137790">
      <w:pPr>
        <w:spacing w:before="100" w:beforeAutospacing="1"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7" w:history="1">
        <w:r w:rsidR="00942C51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280E25" w:rsidRDefault="00280E25" w:rsidP="00137790">
      <w:pPr>
        <w:spacing w:before="100" w:beforeAutospacing="1"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</w:t>
      </w:r>
      <w:r w:rsidRPr="00280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t</w:t>
      </w:r>
      <w:r w:rsidRPr="00280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kryer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aplikimin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klikoni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si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m</w:t>
      </w:r>
      <w:r w:rsidRPr="00280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posht</w:t>
      </w:r>
      <w:r w:rsidRPr="00280E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280E25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:</w:t>
      </w:r>
    </w:p>
    <w:p w:rsidR="00280E25" w:rsidRDefault="0079071C" w:rsidP="001377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bdr w:val="none" w:sz="0" w:space="0" w:color="auto" w:frame="1"/>
        </w:rPr>
      </w:pPr>
      <w:hyperlink r:id="rId8" w:tgtFrame="_blank" w:history="1">
        <w:r w:rsidR="00280E25" w:rsidRPr="00280E25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bdr w:val="none" w:sz="0" w:space="0" w:color="auto" w:frame="1"/>
          </w:rPr>
          <w:t>https://www.polimi.it/en/exchange-students-incoming/erasmus-programme/how-to-apply/</w:t>
        </w:r>
      </w:hyperlink>
    </w:p>
    <w:p w:rsidR="001C4EE4" w:rsidRPr="00280E25" w:rsidRDefault="001C4EE4" w:rsidP="00137790">
      <w:pPr>
        <w:spacing w:before="100" w:beforeAutospacing="1"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6E01AD" w:rsidRPr="00C373AC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Doktoraturës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373AC" w:rsidRP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E01AD" w:rsidRPr="006220AD" w:rsidRDefault="006E01AD" w:rsidP="006220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CV+Lista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publikimeve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46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lëshuar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konfirmon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lastRenderedPageBreak/>
        <w:t>Listë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masterit</w:t>
      </w:r>
      <w:proofErr w:type="spellEnd"/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0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9760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997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03">
        <w:rPr>
          <w:rFonts w:ascii="Times New Roman" w:eastAsia="Times New Roman" w:hAnsi="Times New Roman" w:cs="Times New Roman"/>
          <w:sz w:val="24"/>
          <w:szCs w:val="24"/>
        </w:rPr>
        <w:t>përkthyera</w:t>
      </w:r>
      <w:proofErr w:type="spellEnd"/>
      <w:r w:rsidR="00997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0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Certifikatë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C222A0"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Italisht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C222A0" w:rsidRPr="00C22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A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831">
        <w:rPr>
          <w:rFonts w:ascii="Times New Roman" w:eastAsia="Times New Roman" w:hAnsi="Times New Roman" w:cs="Times New Roman"/>
          <w:sz w:val="24"/>
          <w:szCs w:val="24"/>
        </w:rPr>
        <w:t>Milanos</w:t>
      </w:r>
      <w:proofErr w:type="spellEnd"/>
      <w:r w:rsidR="007D012D"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AF3" w:rsidRPr="00C373AC" w:rsidRDefault="00233AF3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doktorantit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udh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heq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baz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7D012D" w:rsidRPr="00F700B6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3AC" w:rsidRDefault="00C222A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12D" w:rsidRPr="00C373AC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70831">
        <w:rPr>
          <w:rFonts w:ascii="Times New Roman" w:eastAsia="Times New Roman" w:hAnsi="Times New Roman" w:cs="Times New Roman"/>
          <w:i/>
          <w:sz w:val="20"/>
          <w:szCs w:val="20"/>
        </w:rPr>
        <w:t>Milanos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ofron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 w:rsidRPr="00942C51">
        <w:rPr>
          <w:rFonts w:ascii="Times New Roman" w:eastAsia="Times New Roman" w:hAnsi="Times New Roman" w:cs="Times New Roman"/>
          <w:i/>
          <w:sz w:val="20"/>
          <w:szCs w:val="20"/>
        </w:rPr>
        <w:t>italiane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B2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E01A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nive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niversitetin</w:t>
      </w:r>
      <w:proofErr w:type="spellEnd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374C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70831">
        <w:rPr>
          <w:rFonts w:ascii="Times New Roman" w:eastAsia="Times New Roman" w:hAnsi="Times New Roman" w:cs="Times New Roman"/>
          <w:i/>
          <w:sz w:val="20"/>
          <w:szCs w:val="20"/>
        </w:rPr>
        <w:t>Milanos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vendosen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kontakt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profesor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cili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udhëheq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periudhën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gjatë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Ai/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ajo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dokumet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profesori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juaj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udhëheqës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vel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70831">
        <w:rPr>
          <w:rFonts w:ascii="Times New Roman" w:eastAsia="Times New Roman" w:hAnsi="Times New Roman" w:cs="Times New Roman"/>
          <w:i/>
          <w:sz w:val="20"/>
          <w:szCs w:val="20"/>
        </w:rPr>
        <w:t>Milanos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paraqesin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aktiviteteve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shkencore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orike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parashikuara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ndiqen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prit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Ky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bashku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periudh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planifikuar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firmosen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heq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shkencor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kandidatit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7F6479">
        <w:rPr>
          <w:rFonts w:ascii="Times New Roman" w:eastAsia="Times New Roman" w:hAnsi="Times New Roman" w:cs="Times New Roman"/>
          <w:i/>
          <w:sz w:val="20"/>
          <w:szCs w:val="20"/>
        </w:rPr>
        <w:t xml:space="preserve"> UPT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rgjegj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baz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pro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gram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kandidati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bë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pjes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51" w:rsidRPr="00942C51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deri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më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70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="00021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21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Nëntor</w:t>
      </w:r>
      <w:proofErr w:type="spellEnd"/>
      <w:r w:rsidR="00021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2020</w:t>
      </w: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459">
        <w:rPr>
          <w:rFonts w:ascii="Times New Roman" w:eastAsia="Times New Roman" w:hAnsi="Times New Roman" w:cs="Times New Roman"/>
          <w:sz w:val="24"/>
          <w:szCs w:val="24"/>
        </w:rPr>
        <w:t>vet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1245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812459">
        <w:rPr>
          <w:rFonts w:ascii="Times New Roman" w:eastAsia="Times New Roman" w:hAnsi="Times New Roman" w:cs="Times New Roman"/>
          <w:sz w:val="24"/>
          <w:szCs w:val="24"/>
        </w:rPr>
        <w:t xml:space="preserve"> online. 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259B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  <w:bookmarkStart w:id="0" w:name="_GoBack"/>
      <w:bookmarkEnd w:id="0"/>
    </w:p>
    <w:sectPr w:rsidR="006E01AD" w:rsidSect="00F700B6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F9" w:rsidRDefault="007256F9" w:rsidP="0070301F">
      <w:pPr>
        <w:spacing w:after="0" w:line="240" w:lineRule="auto"/>
      </w:pPr>
      <w:r>
        <w:separator/>
      </w:r>
    </w:p>
  </w:endnote>
  <w:endnote w:type="continuationSeparator" w:id="0">
    <w:p w:rsidR="007256F9" w:rsidRDefault="007256F9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F9" w:rsidRDefault="007256F9" w:rsidP="0070301F">
      <w:pPr>
        <w:spacing w:after="0" w:line="240" w:lineRule="auto"/>
      </w:pPr>
      <w:r>
        <w:separator/>
      </w:r>
    </w:p>
  </w:footnote>
  <w:footnote w:type="continuationSeparator" w:id="0">
    <w:p w:rsidR="007256F9" w:rsidRDefault="007256F9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AD"/>
    <w:rsid w:val="000061F1"/>
    <w:rsid w:val="0002114D"/>
    <w:rsid w:val="000C31BF"/>
    <w:rsid w:val="000C68C0"/>
    <w:rsid w:val="000E416E"/>
    <w:rsid w:val="00131487"/>
    <w:rsid w:val="00137790"/>
    <w:rsid w:val="001C4EE4"/>
    <w:rsid w:val="001D1175"/>
    <w:rsid w:val="001E1301"/>
    <w:rsid w:val="00211D11"/>
    <w:rsid w:val="00233AF3"/>
    <w:rsid w:val="00266CD9"/>
    <w:rsid w:val="00280E25"/>
    <w:rsid w:val="002B3A80"/>
    <w:rsid w:val="002B43F7"/>
    <w:rsid w:val="002E56F2"/>
    <w:rsid w:val="003028EF"/>
    <w:rsid w:val="00321B28"/>
    <w:rsid w:val="003746E4"/>
    <w:rsid w:val="00374C9F"/>
    <w:rsid w:val="00377FDD"/>
    <w:rsid w:val="003F3BAD"/>
    <w:rsid w:val="00473E4B"/>
    <w:rsid w:val="004D588B"/>
    <w:rsid w:val="0053538D"/>
    <w:rsid w:val="005407FD"/>
    <w:rsid w:val="00551BD4"/>
    <w:rsid w:val="00570831"/>
    <w:rsid w:val="00577E2F"/>
    <w:rsid w:val="00584290"/>
    <w:rsid w:val="00584DF9"/>
    <w:rsid w:val="005A1C10"/>
    <w:rsid w:val="005B5231"/>
    <w:rsid w:val="006220AD"/>
    <w:rsid w:val="00644D07"/>
    <w:rsid w:val="00674BC4"/>
    <w:rsid w:val="006E01AD"/>
    <w:rsid w:val="00702EAC"/>
    <w:rsid w:val="0070301F"/>
    <w:rsid w:val="00705BEA"/>
    <w:rsid w:val="007256F9"/>
    <w:rsid w:val="0079071C"/>
    <w:rsid w:val="00797EFF"/>
    <w:rsid w:val="007D012D"/>
    <w:rsid w:val="007F6479"/>
    <w:rsid w:val="00812459"/>
    <w:rsid w:val="00862315"/>
    <w:rsid w:val="00885433"/>
    <w:rsid w:val="008A259B"/>
    <w:rsid w:val="008E38E1"/>
    <w:rsid w:val="008E6281"/>
    <w:rsid w:val="009306ED"/>
    <w:rsid w:val="00936962"/>
    <w:rsid w:val="00937B0B"/>
    <w:rsid w:val="00942C51"/>
    <w:rsid w:val="009779C2"/>
    <w:rsid w:val="00997603"/>
    <w:rsid w:val="009A6D44"/>
    <w:rsid w:val="009E3F11"/>
    <w:rsid w:val="00A132FA"/>
    <w:rsid w:val="00A45D3E"/>
    <w:rsid w:val="00A841B3"/>
    <w:rsid w:val="00AC4354"/>
    <w:rsid w:val="00B45C9D"/>
    <w:rsid w:val="00BC4E3C"/>
    <w:rsid w:val="00C13035"/>
    <w:rsid w:val="00C222A0"/>
    <w:rsid w:val="00C25C16"/>
    <w:rsid w:val="00C373AC"/>
    <w:rsid w:val="00C54E5A"/>
    <w:rsid w:val="00CC18D5"/>
    <w:rsid w:val="00CF6AFF"/>
    <w:rsid w:val="00D01B5D"/>
    <w:rsid w:val="00D4729C"/>
    <w:rsid w:val="00D504E1"/>
    <w:rsid w:val="00D67871"/>
    <w:rsid w:val="00D90E3E"/>
    <w:rsid w:val="00E046B6"/>
    <w:rsid w:val="00E56C00"/>
    <w:rsid w:val="00EA1E71"/>
    <w:rsid w:val="00EA6015"/>
    <w:rsid w:val="00F27695"/>
    <w:rsid w:val="00F540CB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5D85F-1142-4D07-9FCE-2F59396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mi.it/en/exchange-students-incoming/erasmus-programme/how-to-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2019-10-21T13:19:00Z</cp:lastPrinted>
  <dcterms:created xsi:type="dcterms:W3CDTF">2020-11-05T09:02:00Z</dcterms:created>
  <dcterms:modified xsi:type="dcterms:W3CDTF">2020-11-09T10:02:00Z</dcterms:modified>
</cp:coreProperties>
</file>